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2020-2021-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окуу жылына карата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2-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класстын мекен таануу сабагынан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  түзүлөн тематикалык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календардык планы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                                        Жыл бою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34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саат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     II-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чейрек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(7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саат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)</w:t>
      </w: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</w:p>
    <w:p>
      <w:pPr>
        <w:pStyle w:val="Normal.0"/>
        <w:spacing w:before="120" w:after="120" w:line="192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                                               Мугалим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Казыбекова Г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.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1"/>
        <w:gridCol w:w="2528"/>
        <w:gridCol w:w="1180"/>
        <w:gridCol w:w="1231"/>
        <w:gridCol w:w="1707"/>
        <w:gridCol w:w="1992"/>
      </w:tblGrid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</w:p>
        </w:tc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Сабактын темасы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Сааты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Мөөнөтү</w:t>
            </w:r>
          </w:p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Үй тапшырма 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булактары</w:t>
            </w:r>
          </w:p>
        </w:tc>
      </w:tr>
      <w:tr>
        <w:tblPrEx>
          <w:shd w:val="clear" w:color="auto" w:fill="ced7e7"/>
        </w:tblPrEx>
        <w:trPr>
          <w:trHeight w:val="822" w:hRule="atLeast"/>
        </w:trPr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Өсүмдүктөр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Өсүмдүктүн бөлүктөрү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Өсүмдүктөрдүн ар түрдүүлүгү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16.11.20</w:t>
            </w:r>
          </w:p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30-31-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беттер 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sz w:val="22"/>
                <w:szCs w:val="22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sz w:val="22"/>
                <w:szCs w:val="22"/>
              </w:rPr>
              <w:instrText xml:space="preserve"> HYPERLINK "https://clck.ru/Riefo"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sz w:val="22"/>
                <w:szCs w:val="22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rtl w:val="0"/>
                <w:lang w:val="de-DE"/>
              </w:rPr>
              <w:t>https://clck.ru/Riefo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sz w:val="22"/>
                <w:szCs w:val="22"/>
              </w:rPr>
              <w:fldChar w:fldCharType="end" w:fldLock="0"/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Ийне жалбырактуу жана жазы  жалбырактуу дарактар 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23.11.20</w:t>
            </w:r>
          </w:p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32-33-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"https://clck.ru/RkWxn"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https://clck.ru/RkWxn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48" w:hRule="atLeast"/>
        </w:trPr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  <w:rPr>
                <w:rFonts w:ascii="Times New Roman" w:cs="Times New Roman" w:hAnsi="Times New Roman" w:eastAsia="Times New Roman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Жапайы жана маданий өсүмдүктөр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spacing w:before="120" w:after="120" w:line="19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Бөлмө өсүмдүктөрү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30.11.20</w:t>
            </w:r>
          </w:p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36-37-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"https://youtu.be/avSLWD79F5Y"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https://youtu.be/avSLWD79F5Y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Жаныбарлар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Жапайы жана үй жаныбарлар 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07.12.20</w:t>
            </w:r>
          </w:p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38-44-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"https://youtu.be/ERapKlGorGw"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https://youtu.be/ERapKlGorGw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  <w:rPr>
                <w:rFonts w:ascii="Times New Roman" w:cs="Times New Roman" w:hAnsi="Times New Roman" w:eastAsia="Times New Roman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Ат адамдын канаты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spacing w:before="120" w:after="120" w:line="19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Ит жана мышык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14.12.20</w:t>
            </w:r>
          </w:p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45-47-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"https://youtu.be/mkcxpqDAkkM"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https://youtu.be/mkcxpqDAkkM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256" w:hRule="atLeast"/>
        </w:trPr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6</w:t>
            </w:r>
          </w:p>
        </w:tc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  <w:rPr>
                <w:rFonts w:ascii="Times New Roman" w:cs="Times New Roman" w:hAnsi="Times New Roman" w:eastAsia="Times New Roman"/>
                <w:i w:val="0"/>
                <w:iCs w:val="0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Бейпил кыш мезгили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spacing w:before="120" w:after="120" w:line="192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Жансыз жаратылыш кышында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spacing w:before="120" w:after="120" w:line="192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Жандуу жаратылыш кышында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21.12.20</w:t>
            </w:r>
          </w:p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48-51-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"https://youtu.be/-OAwVd7Wl5M"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https://youtu.be/-OAwVd7Wl5M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7</w:t>
            </w:r>
          </w:p>
        </w:tc>
        <w:tc>
          <w:tcPr>
            <w:tcW w:type="dxa" w:w="2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Өтүлгөндөрдү кайталоо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28.12.20</w:t>
            </w:r>
          </w:p>
        </w:tc>
        <w:tc>
          <w:tcPr>
            <w:tcW w:type="dxa" w:w="1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192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Кайталап келүү</w:t>
            </w:r>
          </w:p>
        </w:tc>
        <w:tc>
          <w:tcPr>
            <w:tcW w:type="dxa" w:w="1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192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"https://youtu.be/M3bEXdoGcnI"</w:instrText>
            </w:r>
            <w:r>
              <w:rPr>
                <w:rStyle w:val="Ссылка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Ссылка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https://youtu.be/M3bEXdoGcnI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before="120" w:after="120" w:line="240" w:lineRule="auto"/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shd w:val="nil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