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3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”А”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класстын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турмуш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тири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чилик  коопсуздугунун негиздери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(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ТТКН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 xml:space="preserve">        сабагынан түзүлгөн тематикалык календардык планы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ab/>
        <w:tab/>
        <w:t xml:space="preserve">            Жыл бою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.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9"/>
        <w:gridCol w:w="2326"/>
        <w:gridCol w:w="1228"/>
        <w:gridCol w:w="1300"/>
        <w:gridCol w:w="1720"/>
        <w:gridCol w:w="1936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Мөөнөтү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Булактары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Электр щаймандары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11.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11.20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Электр шаймандары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"https://youtu.be/hM1ozhUM0uI"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https://youtu.be/hM1ozhUM0uI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Газ шаймандары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18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.11.20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Газ шаймандары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"https://youtu.be/qpVBA5-y9vw"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https://youtu.be/qpVBA5-y9vw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Химиялык заттар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25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Химиялык заттар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"https://youtu.be/qpVBA5-y9vw"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https://youtu.be/qpVBA5-y9vw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Этият бол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Этият бол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"https://youtu.be/Qy8G2YDEUG8"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https://youtu.be/Qy8G2YDEUG8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Жол чийими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09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Жол чийими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"https://youtu.be/RsuzcGnDTjE"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https://youtu.be/RsuzcGnDTjE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Жол элементтери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16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Жол элементтери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"https://youtu.be/RsuzcGnDTjE"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https://youtu.be/RsuzcGnDTjE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Чейректик кайталоо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23.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Чейректик кайталоо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"https://youtu.be/qgPnWnjP-5g"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https://youtu.be/qgPnWnjP-5g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"https://youtu.be/R2M0fgQvhv4"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https://youtu.be/R2M0fgQvhv4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