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54" w:rsidRDefault="002A7854" w:rsidP="002A7854">
      <w:pPr>
        <w:spacing w:after="14" w:line="259" w:lineRule="auto"/>
        <w:ind w:left="0" w:right="6" w:firstLine="0"/>
        <w:jc w:val="center"/>
        <w:rPr>
          <w:b/>
          <w:sz w:val="32"/>
          <w:szCs w:val="32"/>
        </w:rPr>
      </w:pPr>
      <w:r w:rsidRPr="002F5296">
        <w:rPr>
          <w:b/>
          <w:sz w:val="32"/>
          <w:szCs w:val="32"/>
        </w:rPr>
        <w:t xml:space="preserve">Анализ </w:t>
      </w:r>
      <w:proofErr w:type="gramStart"/>
      <w:r w:rsidRPr="002F5296">
        <w:rPr>
          <w:b/>
          <w:sz w:val="32"/>
          <w:szCs w:val="32"/>
        </w:rPr>
        <w:t>результатов  ОРТ</w:t>
      </w:r>
      <w:proofErr w:type="gramEnd"/>
      <w:r w:rsidRPr="002F5296">
        <w:rPr>
          <w:b/>
          <w:sz w:val="32"/>
          <w:szCs w:val="32"/>
        </w:rPr>
        <w:t xml:space="preserve"> за 5 лет </w:t>
      </w:r>
    </w:p>
    <w:p w:rsidR="002A7854" w:rsidRPr="00251601" w:rsidRDefault="002A7854" w:rsidP="002A7854">
      <w:pPr>
        <w:spacing w:after="14" w:line="259" w:lineRule="auto"/>
        <w:ind w:left="0" w:right="6" w:firstLine="0"/>
        <w:jc w:val="left"/>
        <w:rPr>
          <w:szCs w:val="24"/>
        </w:rPr>
      </w:pPr>
      <w:r w:rsidRPr="00251601">
        <w:rPr>
          <w:szCs w:val="24"/>
        </w:rPr>
        <w:t xml:space="preserve">          В 2015 году Министерством образования и науки КР принято решение, что ОРТ является обязательным для поступления на </w:t>
      </w:r>
      <w:proofErr w:type="spellStart"/>
      <w:r w:rsidRPr="00251601">
        <w:rPr>
          <w:szCs w:val="24"/>
        </w:rPr>
        <w:t>грантовые</w:t>
      </w:r>
      <w:proofErr w:type="spellEnd"/>
      <w:r w:rsidRPr="00251601">
        <w:rPr>
          <w:szCs w:val="24"/>
        </w:rPr>
        <w:t xml:space="preserve"> места вузов, а также на все формы обучения на контрактной основе (очной, заочной и вечерней). Обязательными для абитуриента, желающего поступить на </w:t>
      </w:r>
      <w:proofErr w:type="spellStart"/>
      <w:r w:rsidRPr="00251601">
        <w:rPr>
          <w:szCs w:val="24"/>
        </w:rPr>
        <w:t>грантовое</w:t>
      </w:r>
      <w:proofErr w:type="spellEnd"/>
      <w:r w:rsidRPr="00251601">
        <w:rPr>
          <w:szCs w:val="24"/>
        </w:rPr>
        <w:t xml:space="preserve"> обучение, являются основной тест и не менее одного профилирующего предметного теста. Для абитуриента, желающего учиться на контрактной основе по всем формам обучения (очной, </w:t>
      </w:r>
      <w:proofErr w:type="spellStart"/>
      <w:r w:rsidRPr="00251601">
        <w:rPr>
          <w:szCs w:val="24"/>
        </w:rPr>
        <w:t>дистантной</w:t>
      </w:r>
      <w:proofErr w:type="spellEnd"/>
      <w:r w:rsidRPr="00251601">
        <w:rPr>
          <w:szCs w:val="24"/>
        </w:rPr>
        <w:t xml:space="preserve">, вечерней) обязательным является основной тест, наличие профилирующего теста дает преимущественное право абитуриенту при зачислении на соответствующие направления. </w:t>
      </w:r>
    </w:p>
    <w:p w:rsidR="002A7854" w:rsidRPr="00251601" w:rsidRDefault="002A7854" w:rsidP="002A7854">
      <w:pPr>
        <w:ind w:left="-15" w:firstLine="708"/>
        <w:rPr>
          <w:szCs w:val="24"/>
        </w:rPr>
      </w:pPr>
      <w:r w:rsidRPr="00251601">
        <w:rPr>
          <w:szCs w:val="24"/>
        </w:rPr>
        <w:t xml:space="preserve">Участие в </w:t>
      </w:r>
      <w:proofErr w:type="gramStart"/>
      <w:r w:rsidRPr="00251601">
        <w:rPr>
          <w:szCs w:val="24"/>
        </w:rPr>
        <w:t>общереспубликанском  тестировании</w:t>
      </w:r>
      <w:proofErr w:type="gramEnd"/>
      <w:r w:rsidRPr="00251601">
        <w:rPr>
          <w:szCs w:val="24"/>
        </w:rPr>
        <w:t xml:space="preserve"> выпускников СОШ № 45 является одним из способов внешней оценки образовательных достижений обучающихся и соответствия учебно-воспитательного процесса.  Ежегодно проводится мониторинг результатов ОРТ.  </w:t>
      </w:r>
    </w:p>
    <w:p w:rsidR="002A7854" w:rsidRPr="00251601" w:rsidRDefault="002A7854" w:rsidP="002A7854">
      <w:pPr>
        <w:ind w:left="718"/>
        <w:rPr>
          <w:szCs w:val="24"/>
        </w:rPr>
      </w:pPr>
      <w:r w:rsidRPr="00251601">
        <w:rPr>
          <w:szCs w:val="24"/>
        </w:rPr>
        <w:t xml:space="preserve">По годам данные приведены в таблице: </w:t>
      </w:r>
    </w:p>
    <w:tbl>
      <w:tblPr>
        <w:tblStyle w:val="a3"/>
        <w:tblW w:w="9850" w:type="dxa"/>
        <w:tblInd w:w="-434" w:type="dxa"/>
        <w:tblLook w:val="04A0" w:firstRow="1" w:lastRow="0" w:firstColumn="1" w:lastColumn="0" w:noHBand="0" w:noVBand="1"/>
      </w:tblPr>
      <w:tblGrid>
        <w:gridCol w:w="3921"/>
        <w:gridCol w:w="1182"/>
        <w:gridCol w:w="1182"/>
        <w:gridCol w:w="1182"/>
        <w:gridCol w:w="1182"/>
        <w:gridCol w:w="1201"/>
      </w:tblGrid>
      <w:tr w:rsidR="002A7854" w:rsidTr="00C34523">
        <w:trPr>
          <w:trHeight w:val="529"/>
        </w:trPr>
        <w:tc>
          <w:tcPr>
            <w:tcW w:w="3921" w:type="dxa"/>
          </w:tcPr>
          <w:p w:rsidR="002A7854" w:rsidRDefault="002A7854" w:rsidP="00C34523">
            <w:pPr>
              <w:ind w:left="0" w:firstLine="0"/>
            </w:pP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  <w:jc w:val="center"/>
            </w:pPr>
            <w:r>
              <w:rPr>
                <w:sz w:val="20"/>
              </w:rPr>
              <w:t>2016-2017  учебный год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  <w:jc w:val="center"/>
            </w:pPr>
            <w:r>
              <w:rPr>
                <w:sz w:val="20"/>
              </w:rPr>
              <w:t>2017-2018  учебный год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  <w:jc w:val="center"/>
            </w:pPr>
            <w:r>
              <w:rPr>
                <w:sz w:val="20"/>
              </w:rPr>
              <w:t>2018-2019  учебный год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  <w:jc w:val="center"/>
            </w:pPr>
            <w:r>
              <w:rPr>
                <w:sz w:val="20"/>
              </w:rPr>
              <w:t>2019-2020  учебный год</w:t>
            </w:r>
          </w:p>
        </w:tc>
        <w:tc>
          <w:tcPr>
            <w:tcW w:w="1201" w:type="dxa"/>
          </w:tcPr>
          <w:p w:rsidR="002A7854" w:rsidRDefault="002A7854" w:rsidP="00C34523">
            <w:pPr>
              <w:ind w:left="0" w:firstLine="0"/>
              <w:jc w:val="center"/>
            </w:pPr>
            <w:r>
              <w:rPr>
                <w:sz w:val="20"/>
              </w:rPr>
              <w:t>2019-2020  учебный год</w:t>
            </w:r>
          </w:p>
        </w:tc>
      </w:tr>
      <w:tr w:rsidR="002A7854" w:rsidTr="00C34523">
        <w:trPr>
          <w:trHeight w:val="554"/>
        </w:trPr>
        <w:tc>
          <w:tcPr>
            <w:tcW w:w="3921" w:type="dxa"/>
          </w:tcPr>
          <w:p w:rsidR="002A7854" w:rsidRDefault="002A7854" w:rsidP="00C34523">
            <w:pPr>
              <w:ind w:left="0" w:firstLine="0"/>
            </w:pPr>
            <w:r>
              <w:rPr>
                <w:sz w:val="20"/>
              </w:rPr>
              <w:t>Доля выпускников, участвовавших в ОРТ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100%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94%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89%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93%</w:t>
            </w:r>
          </w:p>
        </w:tc>
        <w:tc>
          <w:tcPr>
            <w:tcW w:w="1201" w:type="dxa"/>
          </w:tcPr>
          <w:p w:rsidR="002A7854" w:rsidRDefault="002A7854" w:rsidP="00C34523">
            <w:pPr>
              <w:ind w:left="0" w:firstLine="0"/>
            </w:pPr>
            <w:r>
              <w:t>61%</w:t>
            </w:r>
          </w:p>
        </w:tc>
      </w:tr>
      <w:tr w:rsidR="002A7854" w:rsidTr="00C34523">
        <w:trPr>
          <w:trHeight w:val="529"/>
        </w:trPr>
        <w:tc>
          <w:tcPr>
            <w:tcW w:w="3921" w:type="dxa"/>
          </w:tcPr>
          <w:p w:rsidR="002A7854" w:rsidRDefault="002A7854" w:rsidP="00C34523">
            <w:pPr>
              <w:ind w:left="0" w:firstLine="0"/>
              <w:jc w:val="left"/>
            </w:pPr>
            <w:r>
              <w:rPr>
                <w:sz w:val="20"/>
              </w:rPr>
              <w:t xml:space="preserve">Среднее значение балла по ОРТ выпускников  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115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124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118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124</w:t>
            </w:r>
          </w:p>
        </w:tc>
        <w:tc>
          <w:tcPr>
            <w:tcW w:w="1201" w:type="dxa"/>
          </w:tcPr>
          <w:p w:rsidR="002A7854" w:rsidRDefault="002A7854" w:rsidP="00C34523">
            <w:pPr>
              <w:ind w:left="0" w:firstLine="0"/>
            </w:pPr>
            <w:r>
              <w:t>126</w:t>
            </w:r>
          </w:p>
        </w:tc>
      </w:tr>
      <w:tr w:rsidR="002A7854" w:rsidTr="00C34523">
        <w:trPr>
          <w:trHeight w:val="529"/>
        </w:trPr>
        <w:tc>
          <w:tcPr>
            <w:tcW w:w="3921" w:type="dxa"/>
          </w:tcPr>
          <w:p w:rsidR="002A7854" w:rsidRDefault="002A7854" w:rsidP="00C34523">
            <w:pPr>
              <w:ind w:left="0" w:firstLine="0"/>
            </w:pPr>
            <w:r>
              <w:rPr>
                <w:sz w:val="20"/>
              </w:rPr>
              <w:t>Доля участников в ОРТ, получивших менее 110  баллов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43%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33%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38%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28%</w:t>
            </w:r>
          </w:p>
        </w:tc>
        <w:tc>
          <w:tcPr>
            <w:tcW w:w="1201" w:type="dxa"/>
          </w:tcPr>
          <w:p w:rsidR="002A7854" w:rsidRDefault="002A7854" w:rsidP="00C34523">
            <w:pPr>
              <w:ind w:left="0" w:firstLine="0"/>
            </w:pPr>
            <w:r>
              <w:t>26%</w:t>
            </w:r>
          </w:p>
        </w:tc>
      </w:tr>
      <w:tr w:rsidR="002A7854" w:rsidTr="00C34523">
        <w:trPr>
          <w:trHeight w:val="529"/>
        </w:trPr>
        <w:tc>
          <w:tcPr>
            <w:tcW w:w="3921" w:type="dxa"/>
          </w:tcPr>
          <w:p w:rsidR="002A7854" w:rsidRDefault="002A7854" w:rsidP="00C3452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Доля участников в ОРТ, получивших более 110  баллов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57%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67%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62%</w:t>
            </w:r>
          </w:p>
        </w:tc>
        <w:tc>
          <w:tcPr>
            <w:tcW w:w="1182" w:type="dxa"/>
          </w:tcPr>
          <w:p w:rsidR="002A7854" w:rsidRDefault="002A7854" w:rsidP="00C34523">
            <w:pPr>
              <w:ind w:left="0" w:firstLine="0"/>
            </w:pPr>
            <w:r>
              <w:t>72%</w:t>
            </w:r>
          </w:p>
        </w:tc>
        <w:tc>
          <w:tcPr>
            <w:tcW w:w="1201" w:type="dxa"/>
          </w:tcPr>
          <w:p w:rsidR="002A7854" w:rsidRDefault="002A7854" w:rsidP="00C34523">
            <w:pPr>
              <w:ind w:left="0" w:firstLine="0"/>
            </w:pPr>
            <w:r>
              <w:t>74%</w:t>
            </w:r>
          </w:p>
        </w:tc>
      </w:tr>
    </w:tbl>
    <w:p w:rsidR="002A7854" w:rsidRPr="00470AA6" w:rsidRDefault="002A7854" w:rsidP="002A785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470AA6">
        <w:rPr>
          <w:rFonts w:ascii="Times New Roman" w:hAnsi="Times New Roman" w:cs="Times New Roman"/>
          <w:color w:val="auto"/>
          <w:sz w:val="24"/>
          <w:szCs w:val="24"/>
        </w:rPr>
        <w:t>Доля выпускников, принимавших в ОРТ с 2016г. по 2021г. В среднем составляет 87,4%</w:t>
      </w:r>
    </w:p>
    <w:p w:rsidR="002A7854" w:rsidRDefault="002A7854" w:rsidP="002A7854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121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Доля выпускников, участвовавших в ОРТ</w:t>
      </w:r>
    </w:p>
    <w:p w:rsidR="00717BAF" w:rsidRDefault="002A7854">
      <w:r w:rsidRPr="000A5233">
        <w:rPr>
          <w:noProof/>
        </w:rPr>
        <w:drawing>
          <wp:inline distT="0" distB="0" distL="0" distR="0" wp14:anchorId="3B3EC14E" wp14:editId="718AA825">
            <wp:extent cx="5940425" cy="3601773"/>
            <wp:effectExtent l="0" t="0" r="317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7854" w:rsidRDefault="002A7854" w:rsidP="002A7854">
      <w:pPr>
        <w:ind w:left="1068" w:firstLine="0"/>
      </w:pPr>
      <w:r>
        <w:t>Средний балл участников ОРТ за пять лет – 121,4</w:t>
      </w:r>
    </w:p>
    <w:p w:rsidR="002A7854" w:rsidRDefault="002A7854" w:rsidP="002A7854">
      <w:pPr>
        <w:pStyle w:val="a4"/>
        <w:numPr>
          <w:ilvl w:val="0"/>
          <w:numId w:val="1"/>
        </w:numPr>
      </w:pPr>
      <w:r w:rsidRPr="002A7854">
        <w:rPr>
          <w:b/>
          <w:sz w:val="28"/>
          <w:szCs w:val="28"/>
        </w:rPr>
        <w:lastRenderedPageBreak/>
        <w:t xml:space="preserve">Среднее значение балла по ОРТ выпускников  </w:t>
      </w:r>
    </w:p>
    <w:p w:rsidR="002A7854" w:rsidRDefault="002A7854" w:rsidP="002A7854">
      <w:pPr>
        <w:ind w:left="1068" w:firstLine="0"/>
      </w:pPr>
    </w:p>
    <w:p w:rsidR="002A7854" w:rsidRDefault="002A7854" w:rsidP="002A7854">
      <w:pPr>
        <w:ind w:left="0" w:firstLine="0"/>
      </w:pPr>
      <w:r>
        <w:rPr>
          <w:noProof/>
        </w:rPr>
        <w:drawing>
          <wp:inline distT="0" distB="0" distL="0" distR="0" wp14:anchorId="0FCF5E01" wp14:editId="21561306">
            <wp:extent cx="5940425" cy="3432413"/>
            <wp:effectExtent l="0" t="0" r="3175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7854" w:rsidRDefault="002A7854" w:rsidP="002A7854"/>
    <w:p w:rsidR="002A7854" w:rsidRDefault="002A7854" w:rsidP="002A7854">
      <w:r>
        <w:t>Процент участников ОРТ, не преодолевших пороговый балл (110</w:t>
      </w:r>
      <w:proofErr w:type="gramStart"/>
      <w:r>
        <w:t>):  33</w:t>
      </w:r>
      <w:proofErr w:type="gramEnd"/>
      <w:r>
        <w:t>,6%</w:t>
      </w:r>
    </w:p>
    <w:p w:rsidR="002A7854" w:rsidRPr="002A7854" w:rsidRDefault="002A7854" w:rsidP="002A7854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12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Доля участников в ОРТ, получивших менее </w:t>
      </w:r>
      <w:proofErr w:type="gramStart"/>
      <w:r w:rsidRPr="00F41213">
        <w:rPr>
          <w:rFonts w:ascii="Times New Roman" w:hAnsi="Times New Roman" w:cs="Times New Roman"/>
          <w:b/>
          <w:color w:val="auto"/>
          <w:sz w:val="28"/>
          <w:szCs w:val="28"/>
        </w:rPr>
        <w:t>110  баллов</w:t>
      </w:r>
      <w:proofErr w:type="gramEnd"/>
    </w:p>
    <w:p w:rsidR="002A7854" w:rsidRDefault="002A7854" w:rsidP="002A7854"/>
    <w:p w:rsidR="002A7854" w:rsidRDefault="002A7854" w:rsidP="002A7854">
      <w:r w:rsidRPr="000A5233">
        <w:rPr>
          <w:noProof/>
        </w:rPr>
        <w:drawing>
          <wp:inline distT="0" distB="0" distL="0" distR="0" wp14:anchorId="1941E712" wp14:editId="104A5C68">
            <wp:extent cx="5486400" cy="3230080"/>
            <wp:effectExtent l="0" t="0" r="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</w:t>
      </w:r>
    </w:p>
    <w:p w:rsidR="002A7854" w:rsidRDefault="002A7854" w:rsidP="002A7854"/>
    <w:p w:rsidR="006A4A93" w:rsidRDefault="006A4A93" w:rsidP="002A7854"/>
    <w:p w:rsidR="006A4A93" w:rsidRDefault="006A4A93" w:rsidP="002A7854"/>
    <w:p w:rsidR="006A4A93" w:rsidRDefault="006A4A93" w:rsidP="002A7854"/>
    <w:p w:rsidR="006A4A93" w:rsidRDefault="006A4A93" w:rsidP="002A7854"/>
    <w:p w:rsidR="002A7854" w:rsidRDefault="002A7854" w:rsidP="002A7854">
      <w:r>
        <w:lastRenderedPageBreak/>
        <w:t>Процент участников ОРТ, преодо</w:t>
      </w:r>
      <w:r w:rsidR="006A4A93">
        <w:t>левших пороговый балл (110</w:t>
      </w:r>
      <w:proofErr w:type="gramStart"/>
      <w:r w:rsidR="006A4A93">
        <w:t>):  66</w:t>
      </w:r>
      <w:proofErr w:type="gramEnd"/>
      <w:r w:rsidR="006A4A93">
        <w:t>,4</w:t>
      </w:r>
      <w:r>
        <w:t xml:space="preserve">%.  </w:t>
      </w:r>
    </w:p>
    <w:p w:rsidR="002A7854" w:rsidRDefault="002A7854" w:rsidP="002A785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2A7854">
        <w:rPr>
          <w:b/>
          <w:sz w:val="28"/>
          <w:szCs w:val="28"/>
        </w:rPr>
        <w:t>Доля участников в ОРТ, получивших более 110 баллов</w:t>
      </w:r>
    </w:p>
    <w:p w:rsidR="002A7854" w:rsidRPr="002A7854" w:rsidRDefault="002A7854" w:rsidP="002A7854">
      <w:pPr>
        <w:rPr>
          <w:b/>
          <w:sz w:val="28"/>
          <w:szCs w:val="28"/>
        </w:rPr>
      </w:pPr>
      <w:r w:rsidRPr="000A5233">
        <w:rPr>
          <w:noProof/>
        </w:rPr>
        <w:drawing>
          <wp:inline distT="0" distB="0" distL="0" distR="0" wp14:anchorId="6D1185EB" wp14:editId="544B8739">
            <wp:extent cx="5486400" cy="3279913"/>
            <wp:effectExtent l="0" t="0" r="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7854" w:rsidRDefault="002A7854" w:rsidP="002A7854"/>
    <w:p w:rsidR="006A4A93" w:rsidRDefault="006A4A93" w:rsidP="006A4A93">
      <w:pPr>
        <w:ind w:left="-15" w:firstLine="708"/>
      </w:pPr>
      <w:r>
        <w:t xml:space="preserve">С целью непосредственного ознакомления выпускников с процедурой ОРТ </w:t>
      </w:r>
      <w:proofErr w:type="gramStart"/>
      <w:r>
        <w:t>и  внешней</w:t>
      </w:r>
      <w:proofErr w:type="gramEnd"/>
      <w:r>
        <w:t xml:space="preserve"> оценки возможных результатов ежегодно организуется пробное тестирование в ЦООМО.</w:t>
      </w:r>
    </w:p>
    <w:p w:rsidR="00EC6C61" w:rsidRDefault="006A4A93" w:rsidP="006A4A93">
      <w:pPr>
        <w:ind w:left="-15" w:firstLine="708"/>
      </w:pPr>
      <w:r>
        <w:t xml:space="preserve"> Работа по подготовке к ОРТ начинается с рассмотрения требований и особенностей тестиров</w:t>
      </w:r>
      <w:r w:rsidR="00EC6C61">
        <w:t xml:space="preserve">ания </w:t>
      </w:r>
      <w:r>
        <w:t>первых родительских собраниях. Для выпускников (учащихся 10-11-х к</w:t>
      </w:r>
      <w:r w:rsidR="00EC6C61">
        <w:t>лассов) проводятся разъяснительные процедуры зам. директором по УВР</w:t>
      </w:r>
      <w:r w:rsidR="00A77416">
        <w:t>,</w:t>
      </w:r>
      <w:bookmarkStart w:id="0" w:name="_GoBack"/>
      <w:bookmarkEnd w:id="0"/>
      <w:r w:rsidR="00EC6C61">
        <w:t xml:space="preserve"> где объясняется</w:t>
      </w:r>
      <w:r>
        <w:t xml:space="preserve"> требов</w:t>
      </w:r>
      <w:r w:rsidR="00EC6C61">
        <w:t>ания, правила регистрации на ОРТ.</w:t>
      </w:r>
    </w:p>
    <w:p w:rsidR="00EC6C61" w:rsidRDefault="00EC6C61" w:rsidP="00EC6C61">
      <w:pPr>
        <w:ind w:left="-5"/>
      </w:pPr>
      <w:r>
        <w:t xml:space="preserve">   Обязательном порядке перед тестированием проводится родительское собрание, на котором родители получают ответы на интересующие вопросы, с детьми проводятся беседы о правилах тестирования, даются психологические рекомендации.  </w:t>
      </w:r>
    </w:p>
    <w:p w:rsidR="00EC6C61" w:rsidRDefault="00EC6C61" w:rsidP="00EC6C61">
      <w:pPr>
        <w:ind w:left="-5"/>
      </w:pPr>
      <w:r>
        <w:t>В мониторинге результатов ОРТ за последние 5 лет, в 2020-2021 учебном году произошло повышение среднего балла по школе.</w:t>
      </w:r>
    </w:p>
    <w:p w:rsidR="006A4A93" w:rsidRDefault="006A4A93" w:rsidP="00EC6C61">
      <w:r>
        <w:t xml:space="preserve">  </w:t>
      </w:r>
      <w:r w:rsidR="00EC6C61">
        <w:t>В 2021-2022 учебном году выпускникам и их родителям по настоящее время проводится работа по подготовке к ОРТ</w:t>
      </w:r>
      <w:r w:rsidR="00251601">
        <w:t>.</w:t>
      </w:r>
    </w:p>
    <w:p w:rsidR="00251601" w:rsidRDefault="00251601" w:rsidP="00EC6C61"/>
    <w:p w:rsidR="00251601" w:rsidRDefault="00251601" w:rsidP="00EC6C61"/>
    <w:p w:rsidR="00251601" w:rsidRPr="00251601" w:rsidRDefault="00251601" w:rsidP="00EC6C61">
      <w:pPr>
        <w:rPr>
          <w:b/>
          <w:sz w:val="28"/>
          <w:szCs w:val="28"/>
        </w:rPr>
      </w:pPr>
      <w:proofErr w:type="spellStart"/>
      <w:r w:rsidRPr="00251601">
        <w:rPr>
          <w:b/>
          <w:sz w:val="28"/>
          <w:szCs w:val="28"/>
        </w:rPr>
        <w:t>Зам.директора</w:t>
      </w:r>
      <w:proofErr w:type="spellEnd"/>
      <w:r w:rsidRPr="00251601">
        <w:rPr>
          <w:b/>
          <w:sz w:val="28"/>
          <w:szCs w:val="28"/>
        </w:rPr>
        <w:t xml:space="preserve"> по УВР    </w:t>
      </w:r>
      <w:proofErr w:type="spellStart"/>
      <w:r w:rsidRPr="00251601">
        <w:rPr>
          <w:b/>
          <w:sz w:val="28"/>
          <w:szCs w:val="28"/>
        </w:rPr>
        <w:t>Исабекова</w:t>
      </w:r>
      <w:proofErr w:type="spellEnd"/>
      <w:r w:rsidRPr="00251601">
        <w:rPr>
          <w:b/>
          <w:sz w:val="28"/>
          <w:szCs w:val="28"/>
        </w:rPr>
        <w:t xml:space="preserve"> Э.Ж.</w:t>
      </w:r>
    </w:p>
    <w:p w:rsidR="006A4A93" w:rsidRDefault="006A4A93" w:rsidP="006A4A93">
      <w:pPr>
        <w:ind w:left="-15" w:firstLine="15"/>
      </w:pPr>
    </w:p>
    <w:p w:rsidR="002A7854" w:rsidRDefault="002A7854" w:rsidP="002A7854"/>
    <w:p w:rsidR="002A7854" w:rsidRDefault="002A7854"/>
    <w:sectPr w:rsidR="002A7854" w:rsidSect="002A78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3B5D"/>
    <w:multiLevelType w:val="hybridMultilevel"/>
    <w:tmpl w:val="3B8E3582"/>
    <w:lvl w:ilvl="0" w:tplc="1FBA8F76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99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C3F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220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23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84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2CF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8AE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00B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C5131"/>
    <w:multiLevelType w:val="hybridMultilevel"/>
    <w:tmpl w:val="C1EAA7DE"/>
    <w:lvl w:ilvl="0" w:tplc="8AC06D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54"/>
    <w:rsid w:val="00251601"/>
    <w:rsid w:val="002A7854"/>
    <w:rsid w:val="006A4A93"/>
    <w:rsid w:val="00717BAF"/>
    <w:rsid w:val="00A77416"/>
    <w:rsid w:val="00E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4EB7"/>
  <w15:chartTrackingRefBased/>
  <w15:docId w15:val="{0DAD607E-879E-40FF-850C-5EF2EF47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54"/>
    <w:pPr>
      <w:spacing w:after="5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8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78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2A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909813356663747E-2"/>
          <c:y val="0.16586379458473205"/>
          <c:w val="0.89360145086030918"/>
          <c:h val="0.661707129128544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выпускников, участвовавшихся в ОРТ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C92-48FA-9E5B-FD38AE51E0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0.94</c:v>
                </c:pt>
                <c:pt idx="2">
                  <c:v>0.89</c:v>
                </c:pt>
                <c:pt idx="3">
                  <c:v>0.93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92-48FA-9E5B-FD38AE51E0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2828920"/>
        <c:axId val="282825640"/>
        <c:axId val="0"/>
      </c:bar3DChart>
      <c:catAx>
        <c:axId val="28282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825640"/>
        <c:crosses val="autoZero"/>
        <c:auto val="1"/>
        <c:lblAlgn val="ctr"/>
        <c:lblOffset val="100"/>
        <c:noMultiLvlLbl val="0"/>
      </c:catAx>
      <c:valAx>
        <c:axId val="282825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828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балла по ОРТ выпускников образовательной организации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</c:v>
                </c:pt>
                <c:pt idx="1">
                  <c:v>124</c:v>
                </c:pt>
                <c:pt idx="2">
                  <c:v>118</c:v>
                </c:pt>
                <c:pt idx="3">
                  <c:v>124</c:v>
                </c:pt>
                <c:pt idx="4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3-44AA-9382-FF76D996FD6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31267456"/>
        <c:axId val="631268440"/>
      </c:barChart>
      <c:catAx>
        <c:axId val="63126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1268440"/>
        <c:crosses val="autoZero"/>
        <c:auto val="1"/>
        <c:lblAlgn val="ctr"/>
        <c:lblOffset val="100"/>
        <c:noMultiLvlLbl val="0"/>
      </c:catAx>
      <c:valAx>
        <c:axId val="631268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126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участников в ОРТ, получивших менее 110 балов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676326917468655E-2"/>
          <c:y val="0.10963955400187639"/>
          <c:w val="0.89360145086030918"/>
          <c:h val="0.774685797975606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 в ОРТ, получивших менее 110 балов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0.43</c:v>
                </c:pt>
                <c:pt idx="1">
                  <c:v>0.33</c:v>
                </c:pt>
                <c:pt idx="2">
                  <c:v>0.38</c:v>
                </c:pt>
                <c:pt idx="3">
                  <c:v>0.28000000000000003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20-4B3B-AABB-21CBEA4076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2828920"/>
        <c:axId val="282825640"/>
        <c:axId val="0"/>
      </c:bar3DChart>
      <c:catAx>
        <c:axId val="28282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825640"/>
        <c:crosses val="autoZero"/>
        <c:auto val="1"/>
        <c:lblAlgn val="ctr"/>
        <c:lblOffset val="100"/>
        <c:noMultiLvlLbl val="0"/>
      </c:catAx>
      <c:valAx>
        <c:axId val="282825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828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Доля участников в ОРТ, получивших более 110 балов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020924467774866E-2"/>
          <c:y val="0.18755615857795124"/>
          <c:w val="0.91437190142898805"/>
          <c:h val="0.660966377266733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 в ОРТ, получивших более 110 балов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 учебный год</c:v>
                </c:pt>
                <c:pt idx="3">
                  <c:v>2019-2020 учебный год</c:v>
                </c:pt>
                <c:pt idx="4">
                  <c:v>2020-2021 учебный 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0.67</c:v>
                </c:pt>
                <c:pt idx="2">
                  <c:v>0.62</c:v>
                </c:pt>
                <c:pt idx="3">
                  <c:v>0.72</c:v>
                </c:pt>
                <c:pt idx="4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B5-4119-BC0B-6C30C59656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2828920"/>
        <c:axId val="282825640"/>
        <c:axId val="0"/>
      </c:bar3DChart>
      <c:catAx>
        <c:axId val="28282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825640"/>
        <c:crosses val="autoZero"/>
        <c:auto val="1"/>
        <c:lblAlgn val="ctr"/>
        <c:lblOffset val="100"/>
        <c:noMultiLvlLbl val="0"/>
      </c:catAx>
      <c:valAx>
        <c:axId val="282825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828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2022-03-30T07:39:00Z</dcterms:created>
  <dcterms:modified xsi:type="dcterms:W3CDTF">2022-03-30T07:39:00Z</dcterms:modified>
</cp:coreProperties>
</file>